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jc w:val="center"/>
        <w:textAlignment w:val="auto"/>
        <w:rPr>
          <w:rFonts w:hint="eastAsia" w:cs="宋体" w:asciiTheme="minorEastAsia" w:hAnsiTheme="minorEastAsia" w:eastAsiaTheme="minorEastAsia"/>
          <w:b/>
          <w:sz w:val="36"/>
          <w:szCs w:val="36"/>
        </w:rPr>
      </w:pPr>
      <w:r>
        <w:rPr>
          <w:rFonts w:hint="eastAsia" w:cs="宋体" w:asciiTheme="minorEastAsia" w:hAnsiTheme="minorEastAsia" w:eastAsiaTheme="minorEastAsia"/>
          <w:b/>
          <w:sz w:val="36"/>
          <w:szCs w:val="36"/>
          <w:lang w:val="en-US" w:eastAsia="zh-CN"/>
        </w:rPr>
        <w:t>音乐</w:t>
      </w:r>
      <w:r>
        <w:rPr>
          <w:rFonts w:hint="eastAsia" w:cs="宋体" w:asciiTheme="minorEastAsia" w:hAnsiTheme="minorEastAsia"/>
          <w:b/>
          <w:sz w:val="36"/>
          <w:szCs w:val="36"/>
          <w:lang w:val="en-US" w:eastAsia="zh-CN"/>
        </w:rPr>
        <w:t>表演</w:t>
      </w:r>
      <w:r>
        <w:rPr>
          <w:rFonts w:hint="eastAsia" w:cs="宋体" w:asciiTheme="minorEastAsia" w:hAnsiTheme="minorEastAsia" w:eastAsiaTheme="minorEastAsia"/>
          <w:b/>
          <w:sz w:val="36"/>
          <w:szCs w:val="36"/>
        </w:rPr>
        <w:t>专业人才培养方案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firstLine="422" w:firstLineChars="200"/>
        <w:textAlignment w:val="auto"/>
        <w:rPr>
          <w:rFonts w:hint="eastAsia" w:ascii="Times New Roman" w:hAnsi="Times New Roman" w:eastAsia="宋体" w:cs="宋体"/>
          <w:b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textAlignment w:val="auto"/>
        <w:rPr>
          <w:rFonts w:hint="eastAsia" w:ascii="Times New Roman" w:hAnsi="Times New Roman" w:eastAsia="宋体" w:cs="宋体"/>
          <w:b/>
          <w:sz w:val="21"/>
          <w:szCs w:val="21"/>
        </w:rPr>
      </w:pPr>
      <w:r>
        <w:rPr>
          <w:rFonts w:hint="eastAsia" w:ascii="Times New Roman" w:hAnsi="Times New Roman" w:eastAsia="宋体" w:cs="宋体"/>
          <w:b/>
          <w:sz w:val="21"/>
          <w:szCs w:val="21"/>
          <w:lang w:val="en-US" w:eastAsia="zh-CN"/>
        </w:rPr>
        <w:t>一、</w:t>
      </w:r>
      <w:r>
        <w:rPr>
          <w:rFonts w:hint="eastAsia" w:ascii="Times New Roman" w:hAnsi="Times New Roman" w:eastAsia="宋体" w:cs="宋体"/>
          <w:b/>
          <w:sz w:val="21"/>
          <w:szCs w:val="21"/>
        </w:rPr>
        <w:t>培养目标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jc w:val="both"/>
        <w:textAlignment w:val="auto"/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</w:rPr>
        <w:t>音乐表演专业主要培养具有音乐表演的专业知识和艺术素养，能够掌握音乐表演专业技能的高级技术应用性专门人才。能在专业文艺表演团体、文化馆站、中小学、企事业、社区文化场馆等从事艺术表演、</w:t>
      </w:r>
      <w:r>
        <w:rPr>
          <w:rFonts w:hint="eastAsia" w:cs="宋体" w:asciiTheme="minorEastAsia" w:hAnsiTheme="minorEastAsia"/>
          <w:b w:val="0"/>
          <w:bCs/>
          <w:sz w:val="21"/>
          <w:szCs w:val="21"/>
          <w:lang w:val="en-US" w:eastAsia="zh-CN"/>
        </w:rPr>
        <w:t>专业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</w:rPr>
        <w:t>教学、宣传教育及科研等工作的，具有一定国际视野和创新能力的高素质应用型人才，</w:t>
      </w:r>
      <w:r>
        <w:rPr>
          <w:rFonts w:hint="eastAsia" w:cs="宋体" w:asciiTheme="minorEastAsia" w:hAnsiTheme="minorEastAsia"/>
          <w:b w:val="0"/>
          <w:bCs/>
          <w:sz w:val="21"/>
          <w:szCs w:val="21"/>
          <w:lang w:val="en-US" w:eastAsia="zh-CN"/>
        </w:rPr>
        <w:t>在具备较高的音乐表演能力和艺术修养的基础上，优化专业知识，丰富实践经验，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</w:rPr>
        <w:t>为本专业的进一步深造打下基础</w:t>
      </w:r>
      <w:r>
        <w:rPr>
          <w:rFonts w:hint="eastAsia" w:cs="宋体" w:asciiTheme="minorEastAsia" w:hAnsiTheme="minorEastAsia"/>
          <w:b w:val="0"/>
          <w:bCs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jc w:val="both"/>
        <w:textAlignment w:val="auto"/>
        <w:rPr>
          <w:rFonts w:hint="eastAsia" w:cs="宋体" w:asciiTheme="minorEastAsia" w:hAnsiTheme="minorEastAsia" w:eastAsiaTheme="minorEastAsia"/>
          <w:b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jc w:val="both"/>
        <w:textAlignment w:val="auto"/>
        <w:rPr>
          <w:rFonts w:cs="宋体" w:asciiTheme="minorEastAsia" w:hAnsiTheme="minorEastAsia" w:eastAsiaTheme="minorEastAsia"/>
          <w:b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b/>
          <w:sz w:val="21"/>
          <w:szCs w:val="21"/>
        </w:rPr>
        <w:t>二、毕业标准及要求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210" w:firstLineChars="100"/>
        <w:jc w:val="both"/>
        <w:textAlignment w:val="auto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（一）毕业标准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jc w:val="both"/>
        <w:textAlignment w:val="auto"/>
        <w:rPr>
          <w:rFonts w:hint="eastAsia"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学生德、智、体、美、劳全面发展，完成本培养方案规定的各教学环节的学习，最低修满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160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学分，毕业设计（论文）答辩合格，达到《国家学生体质健康标准》合格要求，符合《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昆明理工大学津桥学院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学士学位授予管理办法》相关规定，准予毕业，并授予学士学位。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jc w:val="both"/>
        <w:textAlignment w:val="auto"/>
        <w:rPr>
          <w:rFonts w:hint="eastAsia" w:cs="宋体" w:asciiTheme="minorEastAsia" w:hAnsiTheme="minorEastAsia"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1.通识教育课程体系修满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46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学分，其中通识教育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教育必修课40学分，通识选修课6学分，且需修满每个类别要求的最低学分；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jc w:val="both"/>
        <w:textAlignment w:val="auto"/>
        <w:rPr>
          <w:rFonts w:hint="default" w:cs="宋体" w:asciiTheme="minorEastAsia" w:hAnsiTheme="minorEastAsia"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2.课外教育课程体系板块修满10学分；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jc w:val="both"/>
        <w:textAlignment w:val="auto"/>
        <w:rPr>
          <w:rFonts w:hint="default" w:cs="宋体" w:asciiTheme="minorEastAsia" w:hAnsiTheme="minorEastAsia"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3.学科及专业基础教育必修课程72学分；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jc w:val="both"/>
        <w:textAlignment w:val="auto"/>
        <w:rPr>
          <w:rFonts w:hint="default" w:cs="宋体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4.专业选修课程16学分；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jc w:val="both"/>
        <w:textAlignment w:val="auto"/>
        <w:rPr>
          <w:rFonts w:hint="eastAsia" w:cs="宋体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5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.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实践教学环节16学分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210" w:firstLineChars="100"/>
        <w:jc w:val="both"/>
        <w:textAlignment w:val="auto"/>
        <w:rPr>
          <w:rFonts w:hint="eastAsia"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（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二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）毕业要求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jc w:val="both"/>
        <w:textAlignment w:val="auto"/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val="en-US" w:eastAsia="zh-CN"/>
        </w:rPr>
        <w:t>1.思想政治：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</w:rPr>
        <w:t>熟悉党和国家在文艺领域的方针、政策和法规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val="en-US" w:eastAsia="zh-CN"/>
        </w:rPr>
        <w:t>认同新时代中国特色社会主义思想，践行社会主义核心价值观，具有科学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</w:rPr>
        <w:t>的世界观、人生观和价值观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jc w:val="both"/>
        <w:textAlignment w:val="auto"/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val="en-US" w:eastAsia="zh-CN"/>
        </w:rPr>
        <w:t>2.职业素养：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</w:rPr>
        <w:t>遵守职业道德和职业规范，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val="en-US" w:eastAsia="zh-CN"/>
        </w:rPr>
        <w:t>热爱本职工作，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</w:rPr>
        <w:t>对本职工作有责任感与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eastAsia="zh-CN"/>
        </w:rPr>
        <w:t>职业素养，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val="en-US" w:eastAsia="zh-CN"/>
        </w:rPr>
        <w:t>能够在艺术实践中理解并遵守表演工作者的职业道德和规范，履行责任。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jc w:val="both"/>
        <w:textAlignment w:val="auto"/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val="en-US" w:eastAsia="zh-CN"/>
        </w:rPr>
        <w:t>3.理论知识：达到本专业的通识学科要求，理解学科知识体系基本思想和方法，能够将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</w:rPr>
        <w:t>人文社科知识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val="en-US" w:eastAsia="zh-CN"/>
        </w:rPr>
        <w:t>艺术学科知识及其他相关知识应用于自身专业的发展中，为提高自身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</w:rPr>
        <w:t>艺术修养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</w:rPr>
        <w:t>人文素养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val="en-US" w:eastAsia="zh-CN"/>
        </w:rPr>
        <w:t>和审美素养储备知识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jc w:val="both"/>
        <w:textAlignment w:val="auto"/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val="en-US" w:eastAsia="zh-CN"/>
        </w:rPr>
        <w:t>4.专业知识：系统掌握本专业领域宽广的专业理论知识，建立正确的审美观念。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</w:rPr>
        <w:t>广泛了解音乐艺术的基本历史、文化类型以及与社会音乐文化生活相关的活动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eastAsia="zh-CN"/>
        </w:rPr>
        <w:t>；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</w:rPr>
        <w:t>掌握该表演领域各历史时期的风格流派，并对本领域之内的发展动向有一定了解。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jc w:val="both"/>
        <w:textAlignment w:val="auto"/>
        <w:rPr>
          <w:rFonts w:hint="eastAsia" w:cs="宋体" w:asciiTheme="minorEastAsia" w:hAnsiTheme="minorEastAsia" w:eastAsiaTheme="minorEastAsia"/>
          <w:b w:val="0"/>
          <w:bCs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val="en-US" w:eastAsia="zh-CN"/>
        </w:rPr>
        <w:t>5.专业能力：具备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</w:rPr>
        <w:t>熟练地进行独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val="en-US" w:eastAsia="zh-CN"/>
        </w:rPr>
        <w:t>唱、重唱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</w:rPr>
        <w:t>或以合作的方式参与各类音乐表演活动的能力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eastAsia="zh-CN"/>
        </w:rPr>
        <w:t>；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</w:rPr>
        <w:t>能够运用相关音乐理论知识和专业理论，独立分析、判别新曲目；初步掌握音乐教学的基础理论与方法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val="en-US" w:eastAsia="zh-CN"/>
        </w:rPr>
        <w:t>能够开展国民音乐教育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jc w:val="both"/>
        <w:textAlignment w:val="auto"/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eastAsia="zh-CN"/>
        </w:rPr>
      </w:pP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val="en-US" w:eastAsia="zh-CN"/>
        </w:rPr>
        <w:t>6.文化传播：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</w:rPr>
        <w:t>能够选择、使用恰当的技术、资源、现代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eastAsia="zh-CN"/>
        </w:rPr>
        <w:t>文化传播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</w:rPr>
        <w:t>工具，传播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val="en-US" w:eastAsia="zh-CN"/>
        </w:rPr>
        <w:t>推广音乐活动、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</w:rPr>
        <w:t>普及音乐文化知识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jc w:val="both"/>
        <w:textAlignment w:val="auto"/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val="en-US" w:eastAsia="zh-CN"/>
        </w:rPr>
        <w:t>7.沟通交流：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</w:rPr>
        <w:t>具有良好的沟通与交流能力，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eastAsia="zh-CN"/>
        </w:rPr>
        <w:t>能够就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val="en-US" w:eastAsia="zh-CN"/>
        </w:rPr>
        <w:t>相关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eastAsia="zh-CN"/>
        </w:rPr>
        <w:t>问题与同行及社会公众进行有效沟通和交流，包括撰写报告和设计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val="en-US" w:eastAsia="zh-CN"/>
        </w:rPr>
        <w:t>方案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eastAsia="zh-CN"/>
        </w:rPr>
        <w:t>、陈述发言、清晰表达或互动交流；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val="en-US" w:eastAsia="zh-CN"/>
        </w:rPr>
        <w:t>理解学习共同体的作用，富有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</w:rPr>
        <w:t>团队合作精神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val="en-US" w:eastAsia="zh-CN"/>
        </w:rPr>
        <w:t>掌握沟通合作技巧，具有小组互助和合作学习体验。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jc w:val="both"/>
        <w:textAlignment w:val="auto"/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eastAsia="zh-CN"/>
        </w:rPr>
      </w:pP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val="en-US" w:eastAsia="zh-CN"/>
        </w:rPr>
        <w:t>8.创新思维：初步掌握反思方法和技能，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</w:rPr>
        <w:t>能辩证客观地看待问题，并能运用批判性思维分析问题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</w:rPr>
        <w:t>解决问题</w:t>
      </w:r>
      <w:r>
        <w:rPr>
          <w:rFonts w:hint="eastAsia" w:cs="宋体" w:asciiTheme="minorEastAsia" w:hAnsiTheme="minorEastAsia" w:eastAsiaTheme="minorEastAsia"/>
          <w:b w:val="0"/>
          <w:bCs/>
          <w:sz w:val="21"/>
          <w:szCs w:val="21"/>
          <w:lang w:eastAsia="zh-CN"/>
        </w:rPr>
        <w:t>；具有自主学习和终身学习的意识，有不断学习和适应发展的能力。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jc w:val="both"/>
        <w:textAlignment w:val="auto"/>
        <w:rPr>
          <w:rFonts w:hint="eastAsia" w:cs="宋体" w:asciiTheme="minorEastAsia" w:hAnsiTheme="minorEastAsia" w:eastAsiaTheme="minorEastAsia"/>
          <w:b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jc w:val="both"/>
        <w:textAlignment w:val="auto"/>
        <w:rPr>
          <w:rFonts w:hint="eastAsia"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b/>
          <w:sz w:val="21"/>
          <w:szCs w:val="21"/>
        </w:rPr>
        <w:t>三、主干学科、能力模块、核心课程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210" w:firstLineChars="100"/>
        <w:jc w:val="both"/>
        <w:textAlignment w:val="auto"/>
        <w:rPr>
          <w:rFonts w:hint="eastAsia"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/>
          <w:sz w:val="21"/>
          <w:szCs w:val="21"/>
          <w:lang w:eastAsia="zh-CN"/>
        </w:rPr>
        <w:t>（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一</w:t>
      </w:r>
      <w:r>
        <w:rPr>
          <w:rFonts w:hint="eastAsia" w:cs="宋体" w:asciiTheme="minorEastAsia" w:hAnsiTheme="minorEastAsia"/>
          <w:sz w:val="21"/>
          <w:szCs w:val="21"/>
          <w:lang w:eastAsia="zh-CN"/>
        </w:rPr>
        <w:t>）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主干学科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jc w:val="both"/>
        <w:textAlignment w:val="auto"/>
        <w:rPr>
          <w:rFonts w:hint="default" w:ascii="Times New Roman" w:hAnsi="Times New Roman" w:eastAsia="宋体" w:cs="宋体"/>
          <w:b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sz w:val="21"/>
          <w:szCs w:val="21"/>
          <w:lang w:val="en-US" w:eastAsia="zh-CN"/>
        </w:rPr>
        <w:t>艺术学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210" w:firstLineChars="100"/>
        <w:jc w:val="both"/>
        <w:textAlignment w:val="auto"/>
        <w:rPr>
          <w:rFonts w:hint="eastAsia"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/>
          <w:sz w:val="21"/>
          <w:szCs w:val="21"/>
          <w:lang w:eastAsia="zh-CN"/>
        </w:rPr>
        <w:t>（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二）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专业能力模块及核心课程</w:t>
      </w:r>
    </w:p>
    <w:p>
      <w:pPr>
        <w:spacing w:after="0" w:line="360" w:lineRule="exact"/>
        <w:ind w:firstLine="420" w:firstLineChars="200"/>
        <w:jc w:val="both"/>
        <w:rPr>
          <w:rFonts w:hint="default" w:cs="宋体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1.模块名称：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通识教育课程、课外教育、学科及专业类课程、专业选修课程、实习实训。</w:t>
      </w:r>
    </w:p>
    <w:p>
      <w:pPr>
        <w:spacing w:after="0" w:line="360" w:lineRule="exact"/>
        <w:ind w:firstLine="420" w:firstLineChars="200"/>
        <w:jc w:val="both"/>
        <w:rPr>
          <w:rFonts w:hint="default" w:cs="宋体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2</w:t>
      </w:r>
      <w:r>
        <w:rPr>
          <w:rFonts w:cs="宋体" w:asciiTheme="minorEastAsia" w:hAnsiTheme="minorEastAsia" w:eastAsiaTheme="minorEastAsia"/>
          <w:sz w:val="21"/>
          <w:szCs w:val="21"/>
        </w:rPr>
        <w:t>.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主干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课程：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演唱主科、钢琴基础、合唱与指挥、即兴伴奏、歌唱语言、重唱、中外歌剧片段实践。</w:t>
      </w:r>
    </w:p>
    <w:p>
      <w:pPr>
        <w:spacing w:after="0" w:line="360" w:lineRule="exact"/>
        <w:ind w:firstLine="420" w:firstLineChars="200"/>
        <w:jc w:val="both"/>
        <w:rPr>
          <w:rFonts w:hint="eastAsia" w:cs="宋体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cs="宋体" w:asciiTheme="minorEastAsia" w:hAnsiTheme="minorEastAsia" w:eastAsiaTheme="minorEastAsia"/>
          <w:sz w:val="21"/>
          <w:szCs w:val="21"/>
        </w:rPr>
        <w:t>3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.教学目标及学习成果</w:t>
      </w:r>
    </w:p>
    <w:tbl>
      <w:tblPr>
        <w:tblStyle w:val="6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1870"/>
        <w:gridCol w:w="2893"/>
        <w:gridCol w:w="1954"/>
        <w:gridCol w:w="600"/>
        <w:gridCol w:w="6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32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26" w:leftChars="60"/>
              <w:jc w:val="center"/>
              <w:textAlignment w:val="auto"/>
              <w:rPr>
                <w:rFonts w:ascii="Times New Roman" w:hAnsi="Times New Roman" w:eastAsia="宋体" w:cs="宋体"/>
                <w:b/>
                <w:kern w:val="2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18"/>
                <w:szCs w:val="18"/>
              </w:rPr>
              <w:t>模块名称</w:t>
            </w:r>
          </w:p>
        </w:tc>
        <w:tc>
          <w:tcPr>
            <w:tcW w:w="1006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宋体" w:cs="宋体"/>
                <w:b/>
                <w:kern w:val="2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18"/>
                <w:szCs w:val="18"/>
              </w:rPr>
              <w:t>支撑课程</w:t>
            </w:r>
          </w:p>
        </w:tc>
        <w:tc>
          <w:tcPr>
            <w:tcW w:w="155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26" w:leftChars="60"/>
              <w:jc w:val="center"/>
              <w:textAlignment w:val="auto"/>
              <w:rPr>
                <w:rFonts w:ascii="Times New Roman" w:hAnsi="Times New Roman" w:eastAsia="宋体" w:cs="宋体"/>
                <w:b/>
                <w:kern w:val="2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b/>
                <w:sz w:val="18"/>
                <w:szCs w:val="18"/>
              </w:rPr>
              <w:t>教学目标及学习成果</w:t>
            </w:r>
          </w:p>
        </w:tc>
        <w:tc>
          <w:tcPr>
            <w:tcW w:w="105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宋体" w:cs="宋体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b/>
                <w:sz w:val="18"/>
                <w:szCs w:val="18"/>
              </w:rPr>
              <w:t>先修课程</w:t>
            </w:r>
          </w:p>
        </w:tc>
        <w:tc>
          <w:tcPr>
            <w:tcW w:w="65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8" w:beforeLines="60" w:after="0" w:line="240" w:lineRule="auto"/>
              <w:ind w:left="126" w:leftChars="60"/>
              <w:jc w:val="center"/>
              <w:textAlignment w:val="auto"/>
              <w:rPr>
                <w:rFonts w:ascii="Times New Roman" w:hAnsi="Times New Roman" w:eastAsia="宋体" w:cs="宋体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b/>
                <w:sz w:val="18"/>
                <w:szCs w:val="18"/>
              </w:rPr>
              <w:t>学习总量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32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26" w:leftChars="60"/>
              <w:jc w:val="center"/>
              <w:textAlignment w:val="auto"/>
              <w:rPr>
                <w:rFonts w:ascii="Times New Roman" w:hAnsi="Times New Roman" w:eastAsia="宋体" w:cs="宋体"/>
                <w:sz w:val="18"/>
                <w:szCs w:val="18"/>
              </w:rPr>
            </w:pPr>
          </w:p>
        </w:tc>
        <w:tc>
          <w:tcPr>
            <w:tcW w:w="1006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26" w:leftChars="60"/>
              <w:jc w:val="center"/>
              <w:textAlignment w:val="auto"/>
              <w:rPr>
                <w:rFonts w:ascii="Times New Roman" w:hAnsi="Times New Roman" w:eastAsia="宋体" w:cs="宋体"/>
                <w:sz w:val="18"/>
                <w:szCs w:val="18"/>
              </w:rPr>
            </w:pPr>
          </w:p>
        </w:tc>
        <w:tc>
          <w:tcPr>
            <w:tcW w:w="155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26" w:leftChars="60"/>
              <w:jc w:val="center"/>
              <w:textAlignment w:val="auto"/>
              <w:rPr>
                <w:rFonts w:ascii="Times New Roman" w:hAnsi="Times New Roman" w:eastAsia="宋体" w:cs="宋体"/>
                <w:sz w:val="18"/>
                <w:szCs w:val="18"/>
              </w:rPr>
            </w:pPr>
          </w:p>
        </w:tc>
        <w:tc>
          <w:tcPr>
            <w:tcW w:w="1051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26" w:leftChars="60"/>
              <w:jc w:val="center"/>
              <w:textAlignment w:val="auto"/>
              <w:rPr>
                <w:rFonts w:ascii="Times New Roman" w:hAnsi="Times New Roman" w:eastAsia="宋体" w:cs="宋体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8" w:beforeLines="60" w:after="0" w:line="240" w:lineRule="auto"/>
              <w:jc w:val="both"/>
              <w:textAlignment w:val="auto"/>
              <w:rPr>
                <w:rFonts w:hint="eastAsia" w:ascii="Times New Roman" w:hAnsi="Times New Roman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sz w:val="18"/>
                <w:szCs w:val="18"/>
                <w:lang w:val="en-US" w:eastAsia="zh-CN"/>
              </w:rPr>
              <w:t>学时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8" w:beforeLines="60" w:after="0" w:line="240" w:lineRule="auto"/>
              <w:ind w:left="0" w:leftChars="0"/>
              <w:jc w:val="center"/>
              <w:textAlignment w:val="auto"/>
              <w:rPr>
                <w:rFonts w:ascii="Times New Roman" w:hAnsi="Times New Roman" w:eastAsia="宋体" w:cs="宋体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b/>
                <w:sz w:val="18"/>
                <w:szCs w:val="18"/>
              </w:rPr>
              <w:t>学分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18"/>
                <w:szCs w:val="18"/>
              </w:rPr>
              <w:t>通识教育</w:t>
            </w:r>
            <w:r>
              <w:rPr>
                <w:rFonts w:hint="eastAsia" w:ascii="Times New Roman" w:hAnsi="Times New Roman" w:eastAsia="宋体" w:cs="宋体"/>
                <w:bCs/>
                <w:kern w:val="2"/>
                <w:sz w:val="18"/>
                <w:szCs w:val="18"/>
                <w:lang w:val="en-US" w:eastAsia="zh-CN"/>
              </w:rPr>
              <w:t>课程</w:t>
            </w:r>
          </w:p>
        </w:tc>
        <w:tc>
          <w:tcPr>
            <w:tcW w:w="10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思想道德修养与法律基础、马克思主义基本原理、中近代史纲要、毛泽东思想和中国特色社会主义理论体系概论、形势与政策、大学生健康教育。</w:t>
            </w:r>
          </w:p>
        </w:tc>
        <w:tc>
          <w:tcPr>
            <w:tcW w:w="1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培养学生形成正确的世界观、人生观、价值观；树立并践行中华民族伟大复兴中国梦的远大理想；了解中国国情和中国的国际地位及其影响，增强国家意识和民族自豪感。通过课程学习掌握生存生活的一般能力，具备管理自己身心健康的能力。</w:t>
            </w:r>
          </w:p>
        </w:tc>
        <w:tc>
          <w:tcPr>
            <w:tcW w:w="10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思想道德修养与法律基础、马克思主义基本原理、中近代史纲要、毛泽东思想和中国特色社会主义理论体系概论、形势与政策。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816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46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4" w:hRule="atLeast"/>
        </w:trPr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宋体"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18"/>
                <w:szCs w:val="18"/>
                <w:lang w:val="en-US" w:eastAsia="zh-CN"/>
              </w:rPr>
              <w:t>课外教育</w:t>
            </w:r>
          </w:p>
        </w:tc>
        <w:tc>
          <w:tcPr>
            <w:tcW w:w="10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军事理论、军事技能、入学教育、安全微课、社会实践、劳动月活动、X教育。</w:t>
            </w:r>
          </w:p>
        </w:tc>
        <w:tc>
          <w:tcPr>
            <w:tcW w:w="1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培养学生健康的心理、扩大学生的视野、增长知识、发展智力。培养学生的实践能力和创造能力、丰富学生的精神生活、增进身心健康。</w:t>
            </w:r>
          </w:p>
        </w:tc>
        <w:tc>
          <w:tcPr>
            <w:tcW w:w="10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军事理论、军事技能、入学教育、安全微课、社会实践、劳动月活动、X教育。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134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18"/>
                <w:szCs w:val="18"/>
                <w:lang w:val="en-US" w:eastAsia="zh-CN"/>
              </w:rPr>
              <w:t>专业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eastAsia="宋体" w:cs="宋体"/>
                <w:bCs/>
                <w:kern w:val="2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18"/>
                <w:szCs w:val="18"/>
                <w:lang w:val="en-US" w:eastAsia="zh-CN"/>
              </w:rPr>
              <w:t>基础课程</w:t>
            </w:r>
          </w:p>
        </w:tc>
        <w:tc>
          <w:tcPr>
            <w:tcW w:w="10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  <w:t>基本乐理</w:t>
            </w: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、视唱练耳、中国音乐史、西方音乐史、和声基础、中国民族音乐概论、世界民族音乐概论、声乐教学法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、形体训练与舞蹈、声乐艺术史、论文写作、正音与语言表达、音乐科技理论与应用</w:t>
            </w:r>
          </w:p>
        </w:tc>
        <w:tc>
          <w:tcPr>
            <w:tcW w:w="1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建构音乐专业基本理论知识体系，加强对音乐表演本质、规律、价值的认知，树立正确的专业思想，形成教师的职业操守。</w:t>
            </w:r>
          </w:p>
        </w:tc>
        <w:tc>
          <w:tcPr>
            <w:tcW w:w="10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Times New Roman" w:hAnsi="Times New Roman" w:eastAsia="宋体" w:cs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基础乐理、视唱练耳、艺术概论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576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</w:trPr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18"/>
                <w:szCs w:val="18"/>
                <w:lang w:val="en-US" w:eastAsia="zh-CN"/>
              </w:rPr>
              <w:t>专业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eastAsia="宋体" w:cs="宋体"/>
                <w:bCs/>
                <w:kern w:val="2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18"/>
                <w:szCs w:val="18"/>
                <w:lang w:val="en-US" w:eastAsia="zh-CN"/>
              </w:rPr>
              <w:t>主修课程</w:t>
            </w:r>
          </w:p>
        </w:tc>
        <w:tc>
          <w:tcPr>
            <w:tcW w:w="10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演唱主科、钢琴基础、即兴伴奏、合唱与指挥、重唱、中外歌剧片段实践</w:t>
            </w:r>
          </w:p>
        </w:tc>
        <w:tc>
          <w:tcPr>
            <w:tcW w:w="1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建构音乐感知与音乐表现技能体系，掌握专业的基本技能，为从事音乐表演及中小学音乐教育教学夯实基础能力。</w:t>
            </w:r>
          </w:p>
        </w:tc>
        <w:tc>
          <w:tcPr>
            <w:tcW w:w="10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基础乐理、视唱练耳、正音与语言表达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576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宋体"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18"/>
                <w:szCs w:val="18"/>
                <w:lang w:val="en-US" w:eastAsia="zh-CN"/>
              </w:rPr>
              <w:t>专业选修课程</w:t>
            </w:r>
          </w:p>
        </w:tc>
        <w:tc>
          <w:tcPr>
            <w:tcW w:w="10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  <w:t>中外歌剧片段实践</w:t>
            </w: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、音乐作品赏析、器乐演奏、美术作品赏析、生活美学、舞蹈作品赏析、化妆造型基础</w:t>
            </w:r>
          </w:p>
        </w:tc>
        <w:tc>
          <w:tcPr>
            <w:tcW w:w="1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培养学生专业主要课程外的知识，建立综合的专业基本能力，培养学生能够适应多种岗位要求</w:t>
            </w:r>
          </w:p>
        </w:tc>
        <w:tc>
          <w:tcPr>
            <w:tcW w:w="10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基础乐理、视唱练耳、音乐作品赏析、演唱主科、钢琴基础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256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宋体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实习实训</w:t>
            </w:r>
          </w:p>
        </w:tc>
        <w:tc>
          <w:tcPr>
            <w:tcW w:w="10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教学实践-秋季、教学实践-春季、毕业实习、毕业论文、毕业展演与设计</w:t>
            </w:r>
          </w:p>
        </w:tc>
        <w:tc>
          <w:tcPr>
            <w:tcW w:w="1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本环节旨在加强音乐专业基础理论与音乐表现技能相互融会贯通，形成有效的音乐艺术实践，并将音乐表演与教育有机结合，建构音乐表演及教育教学知识能力，并初步形成音乐表演与音乐学术研究能力。</w:t>
            </w:r>
          </w:p>
        </w:tc>
        <w:tc>
          <w:tcPr>
            <w:tcW w:w="10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专业技能集训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720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16</w:t>
            </w:r>
          </w:p>
        </w:tc>
      </w:tr>
    </w:tbl>
    <w:p>
      <w:pPr>
        <w:numPr>
          <w:ilvl w:val="0"/>
          <w:numId w:val="0"/>
        </w:numPr>
        <w:spacing w:after="0" w:line="360" w:lineRule="exact"/>
        <w:jc w:val="both"/>
        <w:rPr>
          <w:rFonts w:hint="eastAsia" w:cs="宋体" w:asciiTheme="minorEastAsia" w:hAnsiTheme="minor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jc w:val="both"/>
        <w:textAlignment w:val="auto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b/>
          <w:sz w:val="21"/>
          <w:szCs w:val="21"/>
        </w:rPr>
        <w:t>四、学制与学位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jc w:val="both"/>
        <w:textAlignment w:val="auto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基本学制：4年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jc w:val="both"/>
        <w:textAlignment w:val="auto"/>
        <w:rPr>
          <w:rFonts w:hint="eastAsia"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修业年限：3</w:t>
      </w:r>
      <w:r>
        <w:rPr>
          <w:rFonts w:hint="eastAsia" w:cs="宋体" w:asciiTheme="minorEastAsia" w:hAnsiTheme="minorEastAsia"/>
          <w:sz w:val="21"/>
          <w:szCs w:val="21"/>
          <w:lang w:eastAsia="zh-CN"/>
        </w:rPr>
        <w:t>—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6年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jc w:val="both"/>
        <w:textAlignment w:val="auto"/>
        <w:rPr>
          <w:rFonts w:hint="eastAsia" w:cs="宋体" w:asciiTheme="minorEastAsia" w:hAnsiTheme="minorEastAsia" w:eastAsiaTheme="minorEastAsia"/>
          <w:b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授予学位：</w:t>
      </w:r>
      <w:r>
        <w:rPr>
          <w:rFonts w:hint="eastAsia" w:cs="宋体" w:asciiTheme="minorEastAsia" w:hAnsiTheme="minorEastAsia" w:eastAsiaTheme="minorEastAsia"/>
          <w:sz w:val="21"/>
          <w:szCs w:val="21"/>
          <w:lang w:val="en-US" w:eastAsia="zh-CN"/>
        </w:rPr>
        <w:t>艺术学学士学位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2" w:firstLineChars="200"/>
        <w:jc w:val="both"/>
        <w:textAlignment w:val="auto"/>
        <w:rPr>
          <w:rFonts w:hint="eastAsia" w:cs="宋体" w:asciiTheme="minorEastAsia" w:hAnsiTheme="minorEastAsia"/>
          <w:b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jc w:val="both"/>
        <w:textAlignment w:val="auto"/>
        <w:rPr>
          <w:rFonts w:cs="宋体" w:asciiTheme="minorEastAsia" w:hAnsiTheme="minorEastAsia" w:eastAsiaTheme="minorEastAsia"/>
          <w:b/>
          <w:sz w:val="21"/>
          <w:szCs w:val="21"/>
        </w:rPr>
      </w:pPr>
      <w:r>
        <w:rPr>
          <w:rFonts w:hint="eastAsia" w:cs="宋体" w:asciiTheme="minorEastAsia" w:hAnsiTheme="minorEastAsia"/>
          <w:b/>
          <w:sz w:val="21"/>
          <w:szCs w:val="21"/>
          <w:lang w:val="en-US" w:eastAsia="zh-CN"/>
        </w:rPr>
        <w:t>五</w:t>
      </w:r>
      <w:r>
        <w:rPr>
          <w:rFonts w:hint="eastAsia" w:cs="宋体" w:asciiTheme="minorEastAsia" w:hAnsiTheme="minorEastAsia" w:eastAsiaTheme="minorEastAsia"/>
          <w:b/>
          <w:sz w:val="21"/>
          <w:szCs w:val="21"/>
        </w:rPr>
        <w:t>、专业主要实践环节</w:t>
      </w:r>
    </w:p>
    <w:tbl>
      <w:tblPr>
        <w:tblStyle w:val="6"/>
        <w:tblW w:w="929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1482"/>
        <w:gridCol w:w="951"/>
        <w:gridCol w:w="2615"/>
        <w:gridCol w:w="729"/>
        <w:gridCol w:w="1572"/>
        <w:gridCol w:w="13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cs="宋体"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序号</w:t>
            </w:r>
          </w:p>
        </w:tc>
        <w:tc>
          <w:tcPr>
            <w:tcW w:w="148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cs="宋体"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实践课程</w:t>
            </w:r>
          </w:p>
        </w:tc>
        <w:tc>
          <w:tcPr>
            <w:tcW w:w="9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cs="宋体"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是否必修</w:t>
            </w:r>
          </w:p>
        </w:tc>
        <w:tc>
          <w:tcPr>
            <w:tcW w:w="26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cs="宋体"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主要实践项目</w:t>
            </w:r>
          </w:p>
        </w:tc>
        <w:tc>
          <w:tcPr>
            <w:tcW w:w="72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cs="宋体"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课时</w:t>
            </w:r>
          </w:p>
        </w:tc>
        <w:tc>
          <w:tcPr>
            <w:tcW w:w="157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cs="宋体"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学期/周次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cs="宋体"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场所（含校外）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6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1</w:t>
            </w:r>
          </w:p>
        </w:tc>
        <w:tc>
          <w:tcPr>
            <w:tcW w:w="14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入学教育</w:t>
            </w:r>
          </w:p>
        </w:tc>
        <w:tc>
          <w:tcPr>
            <w:tcW w:w="9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6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5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1（1）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校内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2</w:t>
            </w:r>
          </w:p>
        </w:tc>
        <w:tc>
          <w:tcPr>
            <w:tcW w:w="14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军训</w:t>
            </w:r>
          </w:p>
        </w:tc>
        <w:tc>
          <w:tcPr>
            <w:tcW w:w="9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6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15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1（1-4）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firstLine="180" w:firstLineChars="100"/>
              <w:jc w:val="both"/>
              <w:textAlignment w:val="auto"/>
              <w:rPr>
                <w:rFonts w:hint="default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军训基地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3</w:t>
            </w:r>
          </w:p>
        </w:tc>
        <w:tc>
          <w:tcPr>
            <w:tcW w:w="14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教学实践</w:t>
            </w:r>
          </w:p>
        </w:tc>
        <w:tc>
          <w:tcPr>
            <w:tcW w:w="9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6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声乐、器乐技能</w:t>
            </w:r>
          </w:p>
        </w:tc>
        <w:tc>
          <w:tcPr>
            <w:tcW w:w="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160</w:t>
            </w:r>
          </w:p>
        </w:tc>
        <w:tc>
          <w:tcPr>
            <w:tcW w:w="15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3、4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音乐厅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6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4</w:t>
            </w:r>
          </w:p>
        </w:tc>
        <w:tc>
          <w:tcPr>
            <w:tcW w:w="14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社会实践</w:t>
            </w:r>
          </w:p>
        </w:tc>
        <w:tc>
          <w:tcPr>
            <w:tcW w:w="9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6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left"/>
              <w:textAlignment w:val="auto"/>
              <w:rPr>
                <w:rFonts w:hint="default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 xml:space="preserve">专题调查、课题调研、职场体验 </w:t>
            </w:r>
          </w:p>
        </w:tc>
        <w:tc>
          <w:tcPr>
            <w:tcW w:w="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 w:eastAsiaTheme="minorEastAsia"/>
                <w:sz w:val="18"/>
                <w:szCs w:val="18"/>
                <w:lang w:val="en-US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寒暑假（校外）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毕业论文（设计）</w:t>
            </w:r>
          </w:p>
        </w:tc>
        <w:tc>
          <w:tcPr>
            <w:tcW w:w="9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6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毕业论文选题、开题、撰写</w:t>
            </w:r>
          </w:p>
        </w:tc>
        <w:tc>
          <w:tcPr>
            <w:tcW w:w="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160</w:t>
            </w:r>
          </w:p>
        </w:tc>
        <w:tc>
          <w:tcPr>
            <w:tcW w:w="15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8（11-18）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校内、校外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4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毕业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实习</w:t>
            </w:r>
          </w:p>
        </w:tc>
        <w:tc>
          <w:tcPr>
            <w:tcW w:w="9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6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----</w:t>
            </w:r>
          </w:p>
        </w:tc>
        <w:tc>
          <w:tcPr>
            <w:tcW w:w="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160</w:t>
            </w:r>
          </w:p>
        </w:tc>
        <w:tc>
          <w:tcPr>
            <w:tcW w:w="15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实习基地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4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18"/>
                <w:szCs w:val="18"/>
                <w:lang w:val="en-US" w:eastAsia="zh-CN"/>
              </w:rPr>
              <w:t>毕业展演与设计</w:t>
            </w:r>
          </w:p>
        </w:tc>
        <w:tc>
          <w:tcPr>
            <w:tcW w:w="9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6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毕业晚会、毕业音乐会</w:t>
            </w:r>
          </w:p>
        </w:tc>
        <w:tc>
          <w:tcPr>
            <w:tcW w:w="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240</w:t>
            </w:r>
          </w:p>
        </w:tc>
        <w:tc>
          <w:tcPr>
            <w:tcW w:w="15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sz w:val="18"/>
                <w:szCs w:val="18"/>
                <w:lang w:val="en-US" w:eastAsia="zh-CN"/>
              </w:rPr>
              <w:t>音乐厅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360" w:firstLineChars="200"/>
        <w:jc w:val="both"/>
        <w:textAlignment w:val="auto"/>
        <w:rPr>
          <w:rFonts w:cs="宋体" w:asciiTheme="minorEastAsia" w:hAnsiTheme="minorEastAsia" w:eastAsiaTheme="minorEastAsia"/>
          <w:b/>
          <w:sz w:val="18"/>
          <w:szCs w:val="18"/>
        </w:rPr>
      </w:pPr>
      <w:r>
        <w:rPr>
          <w:rFonts w:hint="eastAsia" w:cs="宋体" w:asciiTheme="minorEastAsia" w:hAnsiTheme="minorEastAsia" w:eastAsiaTheme="minorEastAsia"/>
          <w:sz w:val="18"/>
          <w:szCs w:val="18"/>
        </w:rPr>
        <w:t>备注：实践教学环节包括实验（训）、实习、社会实践、毕业设计（论文）、课程设计等</w:t>
      </w:r>
      <w:r>
        <w:rPr>
          <w:rFonts w:hint="eastAsia" w:cs="宋体" w:asciiTheme="minorEastAsia" w:hAnsiTheme="minorEastAsia" w:eastAsiaTheme="minorEastAsia"/>
          <w:bCs/>
          <w:sz w:val="18"/>
          <w:szCs w:val="18"/>
        </w:rPr>
        <w:t>；</w:t>
      </w:r>
      <w:r>
        <w:rPr>
          <w:rFonts w:hint="eastAsia" w:cs="宋体" w:asciiTheme="minorEastAsia" w:hAnsiTheme="minorEastAsia" w:eastAsiaTheme="minorEastAsia"/>
          <w:sz w:val="18"/>
          <w:szCs w:val="18"/>
        </w:rPr>
        <w:t>场所要写清实验（训）室名称或实习基地。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jc w:val="both"/>
        <w:textAlignment w:val="auto"/>
        <w:rPr>
          <w:rFonts w:hint="eastAsia" w:cs="宋体" w:asciiTheme="minorEastAsia" w:hAnsiTheme="minorEastAsia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jc w:val="both"/>
        <w:textAlignment w:val="auto"/>
        <w:rPr>
          <w:rFonts w:hint="eastAsia" w:cs="宋体" w:asciiTheme="minorEastAsia" w:hAnsiTheme="minorEastAsia" w:eastAsiaTheme="minorEastAsia"/>
          <w:b/>
          <w:bCs/>
          <w:sz w:val="21"/>
          <w:szCs w:val="21"/>
        </w:rPr>
      </w:pPr>
      <w:r>
        <w:rPr>
          <w:rFonts w:hint="eastAsia" w:cs="宋体" w:asciiTheme="minorEastAsia" w:hAnsiTheme="minorEastAsia"/>
          <w:b/>
          <w:bCs/>
          <w:sz w:val="21"/>
          <w:szCs w:val="21"/>
          <w:lang w:val="en-US" w:eastAsia="zh-CN"/>
        </w:rPr>
        <w:t>六、</w:t>
      </w:r>
      <w:r>
        <w:rPr>
          <w:rFonts w:hint="eastAsia" w:cs="宋体" w:asciiTheme="minorEastAsia" w:hAnsiTheme="minorEastAsia" w:eastAsiaTheme="minorEastAsia"/>
          <w:b/>
          <w:bCs/>
          <w:sz w:val="21"/>
          <w:szCs w:val="21"/>
        </w:rPr>
        <w:t>综合能力测评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jc w:val="both"/>
        <w:textAlignment w:val="auto"/>
        <w:rPr>
          <w:rFonts w:hint="eastAsia" w:cs="宋体" w:asciiTheme="minorEastAsia" w:hAnsiTheme="minorEastAsia"/>
          <w:b/>
          <w:bCs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/>
          <w:b w:val="0"/>
          <w:bCs w:val="0"/>
          <w:sz w:val="21"/>
          <w:szCs w:val="21"/>
          <w:lang w:val="en-US" w:eastAsia="zh-CN"/>
        </w:rPr>
        <w:t>学生综合能力评价包括</w:t>
      </w:r>
      <w:r>
        <w:rPr>
          <w:rFonts w:hint="eastAsia" w:cs="宋体" w:asciiTheme="minorEastAsia" w:hAnsiTheme="minorEastAsia"/>
          <w:b w:val="0"/>
          <w:bCs/>
          <w:sz w:val="21"/>
          <w:szCs w:val="21"/>
          <w:lang w:val="en-US" w:eastAsia="zh-CN"/>
        </w:rPr>
        <w:t>四个一级指标，17个二级指标，从思想道德素质、学科专业能力、身心管理能力、可持续发展能力四个维度全面评价学生的综合能力。以学业成绩量化为客观评价依据，结合班主任的主观评价，对学生作出公平、公正、公开评价。评价结果作为学生评优及奖学金发放依据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jc w:val="center"/>
        <w:textAlignment w:val="auto"/>
        <w:rPr>
          <w:rFonts w:hint="default" w:cs="宋体" w:asciiTheme="minorEastAsia" w:hAnsi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/>
          <w:b/>
          <w:bCs/>
          <w:sz w:val="21"/>
          <w:szCs w:val="21"/>
          <w:lang w:val="en-US" w:eastAsia="zh-CN"/>
        </w:rPr>
        <w:t>学生</w:t>
      </w:r>
      <w:r>
        <w:rPr>
          <w:rFonts w:hint="eastAsia" w:cs="宋体" w:asciiTheme="minorEastAsia" w:hAnsiTheme="minorEastAsia" w:eastAsiaTheme="minorEastAsia"/>
          <w:b/>
          <w:bCs/>
          <w:sz w:val="21"/>
          <w:szCs w:val="21"/>
        </w:rPr>
        <w:t>综合能力测评</w:t>
      </w:r>
      <w:r>
        <w:rPr>
          <w:rFonts w:hint="eastAsia" w:cs="宋体" w:asciiTheme="minorEastAsia" w:hAnsiTheme="minorEastAsia"/>
          <w:b/>
          <w:bCs/>
          <w:sz w:val="21"/>
          <w:szCs w:val="21"/>
          <w:lang w:val="en-US" w:eastAsia="zh-CN"/>
        </w:rPr>
        <w:t>表</w:t>
      </w:r>
    </w:p>
    <w:tbl>
      <w:tblPr>
        <w:tblStyle w:val="6"/>
        <w:tblW w:w="929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0"/>
        <w:gridCol w:w="3062"/>
        <w:gridCol w:w="1713"/>
        <w:gridCol w:w="1448"/>
        <w:gridCol w:w="13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7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cs="宋体"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/>
                <w:sz w:val="18"/>
                <w:szCs w:val="18"/>
                <w:lang w:val="en-US" w:eastAsia="zh-CN"/>
              </w:rPr>
              <w:t>项目</w:t>
            </w: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default" w:cs="宋体" w:asciiTheme="minorEastAsia" w:hAnsiTheme="minorEastAsia" w:eastAsiaTheme="minor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/>
                <w:sz w:val="18"/>
                <w:szCs w:val="18"/>
                <w:lang w:val="en-US" w:eastAsia="zh-CN"/>
              </w:rPr>
              <w:t>测评内容</w:t>
            </w:r>
          </w:p>
        </w:tc>
        <w:tc>
          <w:tcPr>
            <w:tcW w:w="17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default" w:cs="宋体" w:asciiTheme="minorEastAsia" w:hAnsiTheme="minorEastAsia" w:eastAsiaTheme="minor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/>
                <w:sz w:val="18"/>
                <w:szCs w:val="18"/>
                <w:lang w:val="en-US" w:eastAsia="zh-CN"/>
              </w:rPr>
              <w:t>总分100分</w:t>
            </w:r>
          </w:p>
        </w:tc>
        <w:tc>
          <w:tcPr>
            <w:tcW w:w="14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/>
                <w:b/>
                <w:sz w:val="18"/>
                <w:szCs w:val="18"/>
                <w:lang w:val="en-US" w:eastAsia="zh-CN"/>
              </w:rPr>
              <w:t>分值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/>
                <w:b/>
                <w:sz w:val="18"/>
                <w:szCs w:val="18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思想道德素质</w:t>
            </w: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思想政治理论课成绩</w:t>
            </w:r>
          </w:p>
        </w:tc>
        <w:tc>
          <w:tcPr>
            <w:tcW w:w="171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 xml:space="preserve">20 </w:t>
            </w:r>
          </w:p>
        </w:tc>
        <w:tc>
          <w:tcPr>
            <w:tcW w:w="1448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操行</w:t>
            </w:r>
          </w:p>
        </w:tc>
        <w:tc>
          <w:tcPr>
            <w:tcW w:w="17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学科专业能力</w:t>
            </w: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基础知识能力</w:t>
            </w:r>
          </w:p>
        </w:tc>
        <w:tc>
          <w:tcPr>
            <w:tcW w:w="171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4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专业技能水平</w:t>
            </w:r>
          </w:p>
        </w:tc>
        <w:tc>
          <w:tcPr>
            <w:tcW w:w="17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人文素养</w:t>
            </w:r>
          </w:p>
        </w:tc>
        <w:tc>
          <w:tcPr>
            <w:tcW w:w="17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75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身心管理能力</w:t>
            </w: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体育课成绩</w:t>
            </w:r>
          </w:p>
        </w:tc>
        <w:tc>
          <w:tcPr>
            <w:tcW w:w="171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体质测试成绩</w:t>
            </w:r>
          </w:p>
        </w:tc>
        <w:tc>
          <w:tcPr>
            <w:tcW w:w="17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课外群体活动</w:t>
            </w:r>
          </w:p>
        </w:tc>
        <w:tc>
          <w:tcPr>
            <w:tcW w:w="17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良好的自我意识</w:t>
            </w:r>
          </w:p>
        </w:tc>
        <w:tc>
          <w:tcPr>
            <w:tcW w:w="17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积极进取的精神</w:t>
            </w:r>
          </w:p>
        </w:tc>
        <w:tc>
          <w:tcPr>
            <w:tcW w:w="17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情绪协调和控制能力</w:t>
            </w:r>
          </w:p>
        </w:tc>
        <w:tc>
          <w:tcPr>
            <w:tcW w:w="17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积极乐观的人生态度</w:t>
            </w:r>
          </w:p>
        </w:tc>
        <w:tc>
          <w:tcPr>
            <w:tcW w:w="17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处理人际关系的能力</w:t>
            </w:r>
          </w:p>
        </w:tc>
        <w:tc>
          <w:tcPr>
            <w:tcW w:w="17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可持续发展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能力</w:t>
            </w: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创新能力</w:t>
            </w:r>
          </w:p>
        </w:tc>
        <w:tc>
          <w:tcPr>
            <w:tcW w:w="171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组织管理能力</w:t>
            </w:r>
          </w:p>
        </w:tc>
        <w:tc>
          <w:tcPr>
            <w:tcW w:w="17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学科专业竞赛获奖、受到上级表彰</w:t>
            </w:r>
          </w:p>
        </w:tc>
        <w:tc>
          <w:tcPr>
            <w:tcW w:w="17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其他能力</w:t>
            </w:r>
          </w:p>
        </w:tc>
        <w:tc>
          <w:tcPr>
            <w:tcW w:w="17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cs="宋体" w:asciiTheme="minorEastAsia" w:hAnsiTheme="minorEastAsia"/>
                <w:b w:val="0"/>
                <w:bCs/>
                <w:sz w:val="18"/>
                <w:szCs w:val="18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jc w:val="both"/>
        <w:textAlignment w:val="auto"/>
        <w:rPr>
          <w:rFonts w:hint="eastAsia" w:cs="宋体" w:asciiTheme="minorEastAsia" w:hAnsiTheme="minorEastAsia"/>
          <w:b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jc w:val="both"/>
        <w:textAlignment w:val="auto"/>
        <w:rPr>
          <w:rFonts w:cs="宋体" w:asciiTheme="minorEastAsia" w:hAnsiTheme="minorEastAsia" w:eastAsiaTheme="minorEastAsia"/>
          <w:b/>
          <w:sz w:val="21"/>
          <w:szCs w:val="21"/>
        </w:rPr>
      </w:pPr>
      <w:r>
        <w:rPr>
          <w:rFonts w:hint="eastAsia" w:cs="宋体" w:asciiTheme="minorEastAsia" w:hAnsiTheme="minorEastAsia"/>
          <w:b/>
          <w:sz w:val="21"/>
          <w:szCs w:val="21"/>
          <w:lang w:val="en-US" w:eastAsia="zh-CN"/>
        </w:rPr>
        <w:t>七</w:t>
      </w:r>
      <w:r>
        <w:rPr>
          <w:rFonts w:hint="eastAsia" w:cs="宋体" w:asciiTheme="minorEastAsia" w:hAnsiTheme="minorEastAsia" w:eastAsiaTheme="minorEastAsia"/>
          <w:b/>
          <w:sz w:val="21"/>
          <w:szCs w:val="21"/>
        </w:rPr>
        <w:t>、教学计划及执行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textAlignment w:val="auto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1.各学期时间分配表（单位：周）</w:t>
      </w:r>
    </w:p>
    <w:tbl>
      <w:tblPr>
        <w:tblStyle w:val="6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8"/>
        <w:gridCol w:w="717"/>
        <w:gridCol w:w="746"/>
        <w:gridCol w:w="717"/>
        <w:gridCol w:w="746"/>
        <w:gridCol w:w="822"/>
        <w:gridCol w:w="641"/>
        <w:gridCol w:w="726"/>
        <w:gridCol w:w="641"/>
        <w:gridCol w:w="10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53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项目</w:t>
            </w:r>
          </w:p>
        </w:tc>
        <w:tc>
          <w:tcPr>
            <w:tcW w:w="14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第一学年</w:t>
            </w:r>
          </w:p>
        </w:tc>
        <w:tc>
          <w:tcPr>
            <w:tcW w:w="14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第二学年</w:t>
            </w:r>
          </w:p>
        </w:tc>
        <w:tc>
          <w:tcPr>
            <w:tcW w:w="14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第三学年</w:t>
            </w:r>
          </w:p>
        </w:tc>
        <w:tc>
          <w:tcPr>
            <w:tcW w:w="13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第四学年</w:t>
            </w:r>
          </w:p>
        </w:tc>
        <w:tc>
          <w:tcPr>
            <w:tcW w:w="106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53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一</w:t>
            </w:r>
          </w:p>
        </w:tc>
        <w:tc>
          <w:tcPr>
            <w:tcW w:w="7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二</w:t>
            </w:r>
          </w:p>
        </w:tc>
        <w:tc>
          <w:tcPr>
            <w:tcW w:w="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三</w:t>
            </w:r>
          </w:p>
        </w:tc>
        <w:tc>
          <w:tcPr>
            <w:tcW w:w="7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四</w:t>
            </w:r>
          </w:p>
        </w:tc>
        <w:tc>
          <w:tcPr>
            <w:tcW w:w="8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五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六</w:t>
            </w:r>
          </w:p>
        </w:tc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七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八</w:t>
            </w:r>
          </w:p>
        </w:tc>
        <w:tc>
          <w:tcPr>
            <w:tcW w:w="106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军事理论与训练</w:t>
            </w:r>
          </w:p>
        </w:tc>
        <w:tc>
          <w:tcPr>
            <w:tcW w:w="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7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课程教学</w:t>
            </w:r>
          </w:p>
        </w:tc>
        <w:tc>
          <w:tcPr>
            <w:tcW w:w="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7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7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毕业实习</w:t>
            </w:r>
          </w:p>
        </w:tc>
        <w:tc>
          <w:tcPr>
            <w:tcW w:w="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毕业论文（设计）</w:t>
            </w:r>
          </w:p>
        </w:tc>
        <w:tc>
          <w:tcPr>
            <w:tcW w:w="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0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考试\学分认定\毕业资格审查</w:t>
            </w:r>
          </w:p>
        </w:tc>
        <w:tc>
          <w:tcPr>
            <w:tcW w:w="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7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7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8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0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教育周数合计</w:t>
            </w:r>
          </w:p>
        </w:tc>
        <w:tc>
          <w:tcPr>
            <w:tcW w:w="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</w:t>
            </w:r>
          </w:p>
        </w:tc>
        <w:tc>
          <w:tcPr>
            <w:tcW w:w="7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</w:t>
            </w:r>
          </w:p>
        </w:tc>
        <w:tc>
          <w:tcPr>
            <w:tcW w:w="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</w:t>
            </w:r>
          </w:p>
        </w:tc>
        <w:tc>
          <w:tcPr>
            <w:tcW w:w="7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</w:t>
            </w:r>
          </w:p>
        </w:tc>
        <w:tc>
          <w:tcPr>
            <w:tcW w:w="8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</w:t>
            </w:r>
          </w:p>
        </w:tc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</w:t>
            </w:r>
          </w:p>
        </w:tc>
        <w:tc>
          <w:tcPr>
            <w:tcW w:w="10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寒暑假</w:t>
            </w:r>
          </w:p>
        </w:tc>
        <w:tc>
          <w:tcPr>
            <w:tcW w:w="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7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7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7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8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72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学年周数</w:t>
            </w:r>
          </w:p>
        </w:tc>
        <w:tc>
          <w:tcPr>
            <w:tcW w:w="146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52</w:t>
            </w:r>
          </w:p>
        </w:tc>
        <w:tc>
          <w:tcPr>
            <w:tcW w:w="14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52</w:t>
            </w:r>
          </w:p>
        </w:tc>
        <w:tc>
          <w:tcPr>
            <w:tcW w:w="14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52</w:t>
            </w:r>
          </w:p>
        </w:tc>
        <w:tc>
          <w:tcPr>
            <w:tcW w:w="13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45</w:t>
            </w:r>
          </w:p>
        </w:tc>
        <w:tc>
          <w:tcPr>
            <w:tcW w:w="10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201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0" w:firstLineChars="200"/>
        <w:jc w:val="both"/>
        <w:textAlignment w:val="auto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2.各学期教学计划进程表（</w:t>
      </w:r>
      <w:r>
        <w:rPr>
          <w:rFonts w:hint="eastAsia" w:cs="宋体" w:asciiTheme="minorEastAsia" w:hAnsiTheme="minorEastAsia" w:eastAsiaTheme="minorEastAsia"/>
          <w:color w:val="auto"/>
          <w:sz w:val="21"/>
          <w:szCs w:val="21"/>
        </w:rPr>
        <w:t>见附件1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firstLine="420" w:firstLineChars="200"/>
        <w:textAlignment w:val="auto"/>
        <w:rPr>
          <w:rFonts w:hint="default" w:cs="宋体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3.课程体系及学时学分分配</w:t>
      </w:r>
    </w:p>
    <w:tbl>
      <w:tblPr>
        <w:tblStyle w:val="6"/>
        <w:tblW w:w="936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1116"/>
        <w:gridCol w:w="624"/>
        <w:gridCol w:w="825"/>
        <w:gridCol w:w="828"/>
        <w:gridCol w:w="724"/>
        <w:gridCol w:w="828"/>
        <w:gridCol w:w="825"/>
        <w:gridCol w:w="624"/>
        <w:gridCol w:w="624"/>
        <w:gridCol w:w="1032"/>
        <w:gridCol w:w="6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1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开课情况</w:t>
            </w:r>
          </w:p>
        </w:tc>
        <w:tc>
          <w:tcPr>
            <w:tcW w:w="15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毕业要求获得学分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（160学分）</w:t>
            </w:r>
          </w:p>
        </w:tc>
        <w:tc>
          <w:tcPr>
            <w:tcW w:w="45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学时构成（3078学时）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门数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比例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学分数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比例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总学时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比例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理论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实践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自主学习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辅导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通识类课程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公共必修课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27.96%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23.39%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528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公共任选课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3.12%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91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课外教育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公共必修课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7.53%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4.35%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9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学科及专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业类课程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专业基础课程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19.35%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18.71%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428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488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9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专业主修课程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24.73%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18.71%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552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专业选修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专业限选课程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4.16%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专业任选课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4.16%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实践教学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5.38%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23.39%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720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firstLine="420" w:firstLineChars="200"/>
        <w:textAlignment w:val="auto"/>
        <w:rPr>
          <w:rFonts w:hint="eastAsia" w:cs="宋体" w:asciiTheme="minorEastAsia" w:hAnsi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firstLine="420" w:firstLineChars="200"/>
        <w:textAlignment w:val="auto"/>
        <w:rPr>
          <w:rFonts w:hint="eastAsia"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4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.专业教育主题活动</w:t>
      </w:r>
    </w:p>
    <w:tbl>
      <w:tblPr>
        <w:tblStyle w:val="6"/>
        <w:tblW w:w="935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268"/>
        <w:gridCol w:w="2177"/>
        <w:gridCol w:w="108"/>
        <w:gridCol w:w="1212"/>
        <w:gridCol w:w="1356"/>
        <w:gridCol w:w="15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  <w:t>序号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  <w:t>活动主题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  <w:t>教育目标</w:t>
            </w:r>
          </w:p>
        </w:tc>
        <w:tc>
          <w:tcPr>
            <w:tcW w:w="13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  <w:t>活动形式</w:t>
            </w:r>
          </w:p>
        </w:tc>
        <w:tc>
          <w:tcPr>
            <w:tcW w:w="13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  <w:t>组织者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  <w:t>学期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诚信、自强、感恩主题教育活动</w:t>
            </w:r>
          </w:p>
        </w:tc>
        <w:tc>
          <w:tcPr>
            <w:tcW w:w="22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宣扬诚信、自强、感恩的道德准则，教育和引导同学们树立正确的受助感恩观念，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增强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同学们的诚信意识，培养同学们强烈的社会责任感和自立自强的优秀品质，常怀感恩之心，诚信做人，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踏实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做事，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回馈社会。</w:t>
            </w:r>
          </w:p>
        </w:tc>
        <w:tc>
          <w:tcPr>
            <w:tcW w:w="12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讲座、讨论、演讲等</w:t>
            </w:r>
          </w:p>
        </w:tc>
        <w:tc>
          <w:tcPr>
            <w:tcW w:w="13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辅导员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pacing w:val="15"/>
                <w:kern w:val="1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“全民国家安全教育”主题讲座</w:t>
            </w:r>
          </w:p>
        </w:tc>
        <w:tc>
          <w:tcPr>
            <w:tcW w:w="22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增强安全意识，保守国家机密，主动维护国家信息安全、文化安全。</w:t>
            </w:r>
          </w:p>
        </w:tc>
        <w:tc>
          <w:tcPr>
            <w:tcW w:w="12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讲座</w:t>
            </w:r>
          </w:p>
        </w:tc>
        <w:tc>
          <w:tcPr>
            <w:tcW w:w="13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辅导员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1、3、5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纪念“五四”运动系列活动</w:t>
            </w:r>
          </w:p>
        </w:tc>
        <w:tc>
          <w:tcPr>
            <w:tcW w:w="22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深化爱国主义教育和革命传统教育，把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国家意识、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民族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意识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时代使命有机结合起来、把个人成长与社会责任有机结合起来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把实现中华民族伟大复兴中国梦与个人美好憧憬有机结合起来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212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张贴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以“五四”运动为主题的宣传海报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举办“迎五四红歌大家唱”比赛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学院党委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学生会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2、4、6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9" w:hRule="atLeast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 w:themeColor="text1"/>
                <w:spacing w:val="0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“感念师恩”演讲比赛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22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 w:themeColor="text1"/>
                <w:spacing w:val="0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通过“感念师恩”演讲比赛等活动，常怀感恩之心、常做感恩之事，以优秀教师为榜样，不断加强自身道德建设，在</w:t>
            </w:r>
            <w:r>
              <w:rPr>
                <w:rFonts w:hint="eastAsia" w:asciiTheme="minorEastAsia" w:hAnsiTheme="minorEastAsia" w:cstheme="minorEastAsia"/>
                <w:i w:val="0"/>
                <w:caps w:val="0"/>
                <w:color w:val="000000" w:themeColor="text1"/>
                <w:spacing w:val="0"/>
                <w:sz w:val="18"/>
                <w:szCs w:val="18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津桥学院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 w:themeColor="text1"/>
                <w:spacing w:val="0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学有所获、学有所悟、学有所成，成为</w:t>
            </w:r>
            <w:r>
              <w:rPr>
                <w:rFonts w:hint="eastAsia" w:asciiTheme="minorEastAsia" w:hAnsiTheme="minorEastAsia" w:cstheme="minorEastAsia"/>
                <w:i w:val="0"/>
                <w:caps w:val="0"/>
                <w:color w:val="000000" w:themeColor="text1"/>
                <w:spacing w:val="0"/>
                <w:sz w:val="18"/>
                <w:szCs w:val="18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利国利民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 w:themeColor="text1"/>
                <w:spacing w:val="0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 w:asciiTheme="minorEastAsia" w:hAnsiTheme="minorEastAsia" w:cstheme="minorEastAsia"/>
                <w:i w:val="0"/>
                <w:caps w:val="0"/>
                <w:color w:val="000000" w:themeColor="text1"/>
                <w:spacing w:val="0"/>
                <w:sz w:val="18"/>
                <w:szCs w:val="18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有用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 w:themeColor="text1"/>
                <w:spacing w:val="0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人才。</w:t>
            </w:r>
          </w:p>
        </w:tc>
        <w:tc>
          <w:tcPr>
            <w:tcW w:w="12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以比赛的形式挨个上台演讲，由学院教师组成专家评委组进行打分，最终角逐一、二、三等奖</w:t>
            </w:r>
          </w:p>
        </w:tc>
        <w:tc>
          <w:tcPr>
            <w:tcW w:w="13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学院党委宣传部、学生会、辅导员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18"/>
                <w:szCs w:val="18"/>
                <w:lang w:val="en-US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迎新活动</w:t>
            </w:r>
          </w:p>
        </w:tc>
        <w:tc>
          <w:tcPr>
            <w:tcW w:w="22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欢迎新同学，融合师生情谊，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帮助新同学尽快适应大学生活；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展现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音乐表演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专业的特色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亮点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，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增强专业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影响力，树立学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科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品牌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。</w:t>
            </w:r>
          </w:p>
        </w:tc>
        <w:tc>
          <w:tcPr>
            <w:tcW w:w="12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迎新晚会</w:t>
            </w:r>
          </w:p>
        </w:tc>
        <w:tc>
          <w:tcPr>
            <w:tcW w:w="13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院学生会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1、3、5、7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“相互欣赏，成就彼此”</w:t>
            </w:r>
          </w:p>
        </w:tc>
        <w:tc>
          <w:tcPr>
            <w:tcW w:w="22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树立相互尊重、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相互欣赏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彼此成就的意识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。</w:t>
            </w:r>
          </w:p>
        </w:tc>
        <w:tc>
          <w:tcPr>
            <w:tcW w:w="12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18"/>
                <w:szCs w:val="18"/>
                <w:lang w:val="en-US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音乐竞赛、音乐会</w:t>
            </w:r>
          </w:p>
        </w:tc>
        <w:tc>
          <w:tcPr>
            <w:tcW w:w="13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音乐系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1、3、5、7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“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建设班风，共同进步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”</w:t>
            </w:r>
          </w:p>
        </w:tc>
        <w:tc>
          <w:tcPr>
            <w:tcW w:w="22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组织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主题班会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，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 xml:space="preserve">开展重大热点问题、学风、班风建设专题研讨，增强班级凝聚力，树立良好班风。 </w:t>
            </w:r>
          </w:p>
        </w:tc>
        <w:tc>
          <w:tcPr>
            <w:tcW w:w="12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主题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班会</w:t>
            </w:r>
          </w:p>
        </w:tc>
        <w:tc>
          <w:tcPr>
            <w:tcW w:w="13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班主任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1、2、3、4、5、6、7、8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2" w:firstLineChars="200"/>
        <w:jc w:val="both"/>
        <w:textAlignment w:val="auto"/>
        <w:rPr>
          <w:rFonts w:hint="eastAsia" w:cs="宋体" w:asciiTheme="minorEastAsia" w:hAnsiTheme="minorEastAsia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tLeast"/>
        <w:ind w:firstLine="422" w:firstLineChars="200"/>
        <w:jc w:val="both"/>
        <w:textAlignment w:val="auto"/>
        <w:rPr>
          <w:rFonts w:cs="宋体" w:asciiTheme="minorEastAsia" w:hAnsiTheme="minorEastAsia" w:eastAsiaTheme="minorEastAsia"/>
          <w:b/>
          <w:sz w:val="21"/>
          <w:szCs w:val="21"/>
        </w:rPr>
      </w:pPr>
      <w:r>
        <w:rPr>
          <w:rFonts w:hint="eastAsia" w:cs="宋体" w:asciiTheme="minorEastAsia" w:hAnsiTheme="minorEastAsia"/>
          <w:b/>
          <w:sz w:val="21"/>
          <w:szCs w:val="21"/>
          <w:lang w:val="en-US" w:eastAsia="zh-CN"/>
        </w:rPr>
        <w:t>八</w:t>
      </w:r>
      <w:r>
        <w:rPr>
          <w:rFonts w:hint="eastAsia" w:cs="宋体" w:asciiTheme="minorEastAsia" w:hAnsiTheme="minorEastAsia" w:eastAsiaTheme="minorEastAsia"/>
          <w:b/>
          <w:sz w:val="21"/>
          <w:szCs w:val="21"/>
        </w:rPr>
        <w:t>、人才培养方案说明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tLeast"/>
        <w:ind w:firstLine="420" w:firstLineChars="200"/>
        <w:textAlignment w:val="auto"/>
        <w:rPr>
          <w:rFonts w:hint="default" w:cs="宋体" w:asciiTheme="minorEastAsia" w:hAnsiTheme="minorEastAsia" w:eastAsia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/>
          <w:b w:val="0"/>
          <w:bCs w:val="0"/>
          <w:sz w:val="21"/>
          <w:szCs w:val="21"/>
          <w:lang w:val="en-US" w:eastAsia="zh-CN"/>
        </w:rPr>
        <w:t>本培养方案由通识教育与专业教育2个平台，通识教育课、课外教育、学科及专业类课程、专业选修课程、实习实训5个课程模块构成。课程方案凝练了“四能、五创、一结合”先进教育理念，创新了音乐学本科专业人才培养模式，建构了科学系统的课程体系。方案充分体现了音乐学本科专业培养类型层次化、课程体系模块化、实践教学立体化的课程设计思路，彰显了优生优教、特生特教的特色和亮点，具有切实的可操作性。</w:t>
      </w:r>
    </w:p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wZTQxNmEyMWIyNWZjYjk3NjcyNTA1NzdiMDQ5MmQifQ=="/>
  </w:docVars>
  <w:rsids>
    <w:rsidRoot w:val="007E0660"/>
    <w:rsid w:val="007E0660"/>
    <w:rsid w:val="02E03664"/>
    <w:rsid w:val="04730898"/>
    <w:rsid w:val="07547834"/>
    <w:rsid w:val="07790383"/>
    <w:rsid w:val="0BA6428E"/>
    <w:rsid w:val="146F00D4"/>
    <w:rsid w:val="1673252B"/>
    <w:rsid w:val="22AB3A0A"/>
    <w:rsid w:val="25BA1D81"/>
    <w:rsid w:val="2BEF10D6"/>
    <w:rsid w:val="2F976D60"/>
    <w:rsid w:val="30BA0126"/>
    <w:rsid w:val="327E4921"/>
    <w:rsid w:val="33003656"/>
    <w:rsid w:val="39345EC5"/>
    <w:rsid w:val="490D0152"/>
    <w:rsid w:val="4A123FB2"/>
    <w:rsid w:val="4A905BC1"/>
    <w:rsid w:val="4E6A1A38"/>
    <w:rsid w:val="4FD425CC"/>
    <w:rsid w:val="5A463D7B"/>
    <w:rsid w:val="5F177CDC"/>
    <w:rsid w:val="60970E08"/>
    <w:rsid w:val="610A4158"/>
    <w:rsid w:val="63B06DB7"/>
    <w:rsid w:val="645B5B1B"/>
    <w:rsid w:val="6A3A2D5B"/>
    <w:rsid w:val="6CF87F51"/>
    <w:rsid w:val="6DE262E2"/>
    <w:rsid w:val="6F9C621A"/>
    <w:rsid w:val="712B2E0D"/>
    <w:rsid w:val="71EE105E"/>
    <w:rsid w:val="728867DC"/>
    <w:rsid w:val="738E42C9"/>
    <w:rsid w:val="77A175D3"/>
    <w:rsid w:val="78B53946"/>
    <w:rsid w:val="7E2F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Autospacing="0" w:after="290" w:afterAutospacing="0" w:line="372" w:lineRule="auto"/>
      <w:outlineLvl w:val="3"/>
    </w:pPr>
    <w:rPr>
      <w:rFonts w:ascii="仿宋" w:hAnsi="仿宋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4979</Words>
  <Characters>5135</Characters>
  <Lines>0</Lines>
  <Paragraphs>0</Paragraphs>
  <TotalTime>6</TotalTime>
  <ScaleCrop>false</ScaleCrop>
  <LinksUpToDate>false</LinksUpToDate>
  <CharactersWithSpaces>5145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2020-09-18T09:31:00Z</dcterms:created>
  <dc:creator>Admin</dc:creator>
  <cp:lastModifiedBy>李成龙</cp:lastModifiedBy>
  <cp:lastPrinted>2023-07-19T05:48:00Z</cp:lastPrinted>
  <dcterms:modified xsi:type="dcterms:W3CDTF">2023-08-04T02:54:33Z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7E7D01A7961F49BFB9DA9B9473AD0CDC_13</vt:lpwstr>
  </property>
</Properties>
</file>